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1FD70" w14:textId="3858616B" w:rsidR="004E1DD6" w:rsidRDefault="00C059F7" w:rsidP="00C059F7">
      <w:pPr>
        <w:pStyle w:val="c10"/>
        <w:shd w:val="clear" w:color="auto" w:fill="FFFFFF"/>
        <w:spacing w:before="0" w:beforeAutospacing="0" w:after="0" w:afterAutospacing="0"/>
        <w:ind w:right="10"/>
        <w:rPr>
          <w:rStyle w:val="c4"/>
          <w:b/>
          <w:bCs/>
          <w:color w:val="000000"/>
          <w:sz w:val="28"/>
          <w:szCs w:val="28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                            </w:t>
      </w:r>
      <w:r>
        <w:rPr>
          <w:rStyle w:val="c4"/>
          <w:b/>
          <w:bCs/>
          <w:color w:val="000000"/>
          <w:sz w:val="28"/>
          <w:szCs w:val="28"/>
        </w:rPr>
        <w:t>Аннотация к РП «Финансовая грамотность»</w:t>
      </w:r>
    </w:p>
    <w:p w14:paraId="319E2867" w14:textId="77777777" w:rsidR="00C059F7" w:rsidRDefault="00C059F7" w:rsidP="00C059F7">
      <w:pPr>
        <w:pStyle w:val="c10"/>
        <w:shd w:val="clear" w:color="auto" w:fill="FFFFFF"/>
        <w:spacing w:before="0" w:beforeAutospacing="0" w:after="0" w:afterAutospacing="0"/>
        <w:ind w:right="10"/>
        <w:rPr>
          <w:color w:val="000000"/>
          <w:sz w:val="20"/>
          <w:szCs w:val="20"/>
        </w:rPr>
      </w:pPr>
    </w:p>
    <w:p w14:paraId="7C5476C5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Актуальность данной программы</w:t>
      </w:r>
      <w:r>
        <w:rPr>
          <w:rStyle w:val="c0"/>
          <w:color w:val="000000"/>
          <w:sz w:val="28"/>
          <w:szCs w:val="28"/>
        </w:rPr>
        <w:t> 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</w:p>
    <w:p w14:paraId="4F5D4F8A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вкладчиков.</w:t>
      </w:r>
    </w:p>
    <w:p w14:paraId="49C1313B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Новизной данной программы</w:t>
      </w:r>
      <w:r>
        <w:rPr>
          <w:rStyle w:val="c0"/>
          <w:color w:val="000000"/>
          <w:sz w:val="28"/>
          <w:szCs w:val="28"/>
        </w:rPr>
        <w:t> 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138A84F2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Отличительной особенностью</w:t>
      </w:r>
      <w:r>
        <w:rPr>
          <w:rStyle w:val="c0"/>
          <w:color w:val="000000"/>
          <w:sz w:val="28"/>
          <w:szCs w:val="28"/>
        </w:rPr>
        <w:t> программы данного курса является то, что он базируется на </w:t>
      </w:r>
      <w:r>
        <w:rPr>
          <w:rStyle w:val="c4"/>
          <w:b/>
          <w:bCs/>
          <w:color w:val="000000"/>
          <w:sz w:val="28"/>
          <w:szCs w:val="28"/>
        </w:rPr>
        <w:t>системно-деятельностном</w:t>
      </w:r>
      <w:r>
        <w:rPr>
          <w:rStyle w:val="c0"/>
          <w:color w:val="000000"/>
          <w:sz w:val="28"/>
          <w:szCs w:val="28"/>
        </w:rPr>
        <w:t> 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</w:t>
      </w:r>
    </w:p>
    <w:p w14:paraId="441AE997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Ориентиром для содержания школьных курсов по основам финансовой грамотности является уровень формирования финансовой компетентности для учащихся школьного возраста, обозначенный в каждой предметной области. Структура программы разделена на 9 сфер (предметных областей) финансовой грамотности, выделенных по принципу «</w:t>
      </w:r>
      <w:proofErr w:type="spellStart"/>
      <w:r>
        <w:rPr>
          <w:rStyle w:val="c0"/>
          <w:color w:val="000000"/>
          <w:sz w:val="28"/>
          <w:szCs w:val="28"/>
        </w:rPr>
        <w:t>Mutually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Exclusive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Collectively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Exhaustive</w:t>
      </w:r>
      <w:proofErr w:type="spellEnd"/>
      <w:r>
        <w:rPr>
          <w:rStyle w:val="c0"/>
          <w:color w:val="000000"/>
          <w:sz w:val="28"/>
          <w:szCs w:val="28"/>
        </w:rPr>
        <w:t>» (переводится как «взаимно исключающая совместно исчерпывающая»). Перечислим 9 основных сфер:</w:t>
      </w:r>
    </w:p>
    <w:p w14:paraId="5780301A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Доходы и расходы.</w:t>
      </w:r>
    </w:p>
    <w:p w14:paraId="6BC24503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Финансовое планирование и бюджет.</w:t>
      </w:r>
    </w:p>
    <w:p w14:paraId="16DE6FB1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Личные сбережения.</w:t>
      </w:r>
    </w:p>
    <w:p w14:paraId="6E6F867B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Кредитование.</w:t>
      </w:r>
    </w:p>
    <w:p w14:paraId="47870AD4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Инвестирование.</w:t>
      </w:r>
    </w:p>
    <w:p w14:paraId="22B74175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Страхование.</w:t>
      </w:r>
    </w:p>
    <w:p w14:paraId="6B56E232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Риски и финансовая безопасность.</w:t>
      </w:r>
    </w:p>
    <w:p w14:paraId="7F3076F2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Защита прав потребителей.</w:t>
      </w:r>
    </w:p>
    <w:p w14:paraId="01501994" w14:textId="77777777" w:rsidR="004E1DD6" w:rsidRDefault="004E1DD6" w:rsidP="004E1DD6">
      <w:pPr>
        <w:pStyle w:val="c2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Общие знания экономики и азы финансовой арифметики.</w:t>
      </w:r>
    </w:p>
    <w:p w14:paraId="78F1F963" w14:textId="77777777" w:rsidR="004E1DD6" w:rsidRDefault="004E1DD6" w:rsidP="004E1DD6">
      <w:pPr>
        <w:pStyle w:val="c14"/>
        <w:shd w:val="clear" w:color="auto" w:fill="FFFFFF"/>
        <w:spacing w:before="0" w:beforeAutospacing="0" w:after="0" w:afterAutospacing="0"/>
        <w:ind w:firstLine="568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>По мнению аналитиков Высшей школы экономики РФ и Всемирного банка, каждая из областей финансовой грамотности разделена на три составляющих:</w:t>
      </w:r>
    </w:p>
    <w:p w14:paraId="75F934C3" w14:textId="77777777" w:rsidR="004E1DD6" w:rsidRDefault="004E1DD6" w:rsidP="004E1DD6">
      <w:pPr>
        <w:pStyle w:val="c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Знание и понимание.</w:t>
      </w:r>
    </w:p>
    <w:p w14:paraId="746A147F" w14:textId="77777777" w:rsidR="004E1DD6" w:rsidRDefault="004E1DD6" w:rsidP="004E1DD6">
      <w:pPr>
        <w:pStyle w:val="c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Умения и поведение.</w:t>
      </w:r>
    </w:p>
    <w:p w14:paraId="24A14F7D" w14:textId="77777777" w:rsidR="004E1DD6" w:rsidRDefault="004E1DD6" w:rsidP="004E1DD6">
      <w:pPr>
        <w:pStyle w:val="c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Личные характеристики и установки.</w:t>
      </w:r>
    </w:p>
    <w:p w14:paraId="5B7331EB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Данный подход является универсальным при работе с разными группами обучающихся, учитывая уровень «продвинутости». При расстановке приоритетов компетентностей на базовый и продвинутый уровни используется дидактический принцип «от простого к сложному», т.к. на базовом уровне должны быть сосредоточены более простые компетенции. Предложенная «рамка компетентностей» легла в основу отбора и систематизации содержания курса финансовой грамотности для обучающихся организаций общего образования.</w:t>
      </w:r>
      <w:r>
        <w:rPr>
          <w:rStyle w:val="c87"/>
          <w:color w:val="000000"/>
          <w:sz w:val="26"/>
          <w:szCs w:val="26"/>
        </w:rPr>
        <w:t> </w:t>
      </w:r>
      <w:r>
        <w:rPr>
          <w:rStyle w:val="c29"/>
          <w:color w:val="000000"/>
          <w:sz w:val="28"/>
          <w:szCs w:val="28"/>
          <w:u w:val="single"/>
        </w:rPr>
        <w:t>Учитывает особенности ступени образования, для которой она разработана.</w:t>
      </w:r>
    </w:p>
    <w:p w14:paraId="6D4EF775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По мнению ведущих экспертов ВШЭ, методологическими подходами к формированию финансовой грамотности выступают следующие подходы:</w:t>
      </w:r>
    </w:p>
    <w:p w14:paraId="097843B6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компетентностный;</w:t>
      </w:r>
    </w:p>
    <w:p w14:paraId="65CA4880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личностно-деятельностный;</w:t>
      </w:r>
    </w:p>
    <w:p w14:paraId="1C4C36DC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контекстный;</w:t>
      </w:r>
    </w:p>
    <w:p w14:paraId="32E16007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практико-ориентированный;</w:t>
      </w:r>
    </w:p>
    <w:p w14:paraId="0B2DB8AC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интегративный;</w:t>
      </w:r>
    </w:p>
    <w:p w14:paraId="741266F0" w14:textId="77777777" w:rsidR="004E1DD6" w:rsidRDefault="004E1DD6" w:rsidP="004E1DD6">
      <w:pPr>
        <w:pStyle w:val="c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субъектный.</w:t>
      </w:r>
    </w:p>
    <w:p w14:paraId="0103F7D5" w14:textId="77777777" w:rsidR="004E1DD6" w:rsidRDefault="004E1DD6" w:rsidP="004E1DD6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Приведем краткое описание.</w:t>
      </w:r>
    </w:p>
    <w:p w14:paraId="10475690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Компетентностный </w:t>
      </w:r>
      <w:r>
        <w:rPr>
          <w:rStyle w:val="c0"/>
          <w:color w:val="000000"/>
          <w:sz w:val="28"/>
          <w:szCs w:val="28"/>
        </w:rPr>
        <w:t>подход выступает в качестве основы для определения сущности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финансовой грамотности, в том числе структуры и содержания, а также места в системе компетенций выпускника общеобразовательной школы.</w:t>
      </w:r>
    </w:p>
    <w:p w14:paraId="1BD07DED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Личностно-деятельностный </w:t>
      </w:r>
      <w:r>
        <w:rPr>
          <w:rStyle w:val="c0"/>
          <w:color w:val="000000"/>
          <w:sz w:val="28"/>
          <w:szCs w:val="28"/>
        </w:rPr>
        <w:t>подход к формированию финансовой грамотности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предполагает, что в центре обучения находится сам обучающийся – его мотивы, цели, его неповторимый психологический склад, т. е. ученик как личность.</w:t>
      </w:r>
    </w:p>
    <w:p w14:paraId="287BA123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Контекстный подход </w:t>
      </w:r>
      <w:r>
        <w:rPr>
          <w:rStyle w:val="c0"/>
          <w:color w:val="000000"/>
          <w:sz w:val="28"/>
          <w:szCs w:val="28"/>
        </w:rPr>
        <w:t>обеспечивает сближение учебного процесса с реальной жизнью и ориентирует на использование финансового контекста в качестве содержательной основы для применения знаний, умений и способов деятельности из других предметных областей.</w:t>
      </w:r>
    </w:p>
    <w:p w14:paraId="29E1881B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Практико-ориентированный </w:t>
      </w:r>
      <w:r>
        <w:rPr>
          <w:rStyle w:val="c0"/>
          <w:color w:val="000000"/>
          <w:sz w:val="28"/>
          <w:szCs w:val="28"/>
        </w:rPr>
        <w:t>подход к обучению финансовой грамотности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заключается в построении учебного процесса на основе единства эмоционально-образного и логического компонентов содержания, а также приобретения новых финансовых знаний и формирования практического опыта их использования при решении жизненно важных задач и проблем;</w:t>
      </w:r>
    </w:p>
    <w:p w14:paraId="4C2F4179" w14:textId="77777777" w:rsidR="004E1DD6" w:rsidRDefault="004E1DD6" w:rsidP="004E1DD6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Интегративный подход </w:t>
      </w:r>
      <w:r>
        <w:rPr>
          <w:rStyle w:val="c0"/>
          <w:color w:val="000000"/>
          <w:sz w:val="28"/>
          <w:szCs w:val="28"/>
        </w:rPr>
        <w:t>реализуется в организации процесса формирования</w:t>
      </w:r>
    </w:p>
    <w:p w14:paraId="4BEF8FFE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финансовой грамотности, который предполагает взаимодействие учреждений образования, представителей предпринимательского сообщества, профессиональных участников финансового рынка, общественных и некоммерческих организаций, родительского сообщества, СМИ, а также разнообразных форм образовательного процесса.</w:t>
      </w:r>
    </w:p>
    <w:p w14:paraId="4073DAF1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Субъектный подход </w:t>
      </w:r>
      <w:r>
        <w:rPr>
          <w:rStyle w:val="c0"/>
          <w:color w:val="000000"/>
          <w:sz w:val="28"/>
          <w:szCs w:val="28"/>
        </w:rPr>
        <w:t>подразумевает,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в процессе формирования финансовой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грамотности учащихся будут созданы условия для их личностного развития, выражающееся способности успешно адаптироваться в постоянно изменяющуюся образовательную, социокультурную ситуацию, их потребности в проявлении активности и самостоятельности осознании ими ответственности за свое развитие.</w:t>
      </w:r>
    </w:p>
    <w:p w14:paraId="37A316F5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ind w:right="20" w:firstLine="568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Основной целью модифицированной образовательной программы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формирования финансовой грамотности является:</w:t>
      </w:r>
    </w:p>
    <w:p w14:paraId="06B492D1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- формирование базового уровня финансовой грамотности, необходимого для ориентации и социальной адаптации учащихся к происходящим изменениям в жизни, а </w:t>
      </w:r>
      <w:proofErr w:type="gramStart"/>
      <w:r>
        <w:rPr>
          <w:rStyle w:val="c0"/>
          <w:color w:val="000000"/>
          <w:sz w:val="28"/>
          <w:szCs w:val="28"/>
        </w:rPr>
        <w:t>так же</w:t>
      </w:r>
      <w:proofErr w:type="gramEnd"/>
      <w:r>
        <w:rPr>
          <w:rStyle w:val="c0"/>
          <w:color w:val="000000"/>
          <w:sz w:val="28"/>
          <w:szCs w:val="28"/>
        </w:rPr>
        <w:t xml:space="preserve"> к профессиональной ориентации выпускников;</w:t>
      </w:r>
    </w:p>
    <w:p w14:paraId="58711F49" w14:textId="77777777" w:rsidR="004E1DD6" w:rsidRDefault="004E1DD6" w:rsidP="004E1DD6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формирование культуры экономического мышления, обретение опыта в анализе конкретных экономических ситуаций;</w:t>
      </w:r>
    </w:p>
    <w:p w14:paraId="06CA18AD" w14:textId="77777777" w:rsidR="004E1DD6" w:rsidRDefault="004E1DD6" w:rsidP="004E1DD6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выработка практических навыков принятия ответственных финансовых и экономических решений, как в личной жизни, так и в общественной жизни.</w:t>
      </w:r>
    </w:p>
    <w:p w14:paraId="12216092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В рамках реализации программы решение задач повышения финансовой грамотности учащихся школы проводится следующим способом</w:t>
      </w:r>
      <w:r>
        <w:rPr>
          <w:rStyle w:val="c0"/>
          <w:color w:val="000000"/>
          <w:sz w:val="28"/>
          <w:szCs w:val="28"/>
        </w:rPr>
        <w:t>:</w:t>
      </w:r>
    </w:p>
    <w:p w14:paraId="25826B9A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в рамках внеурочной деятельности Кружок «Основы финансовой грамотности»;</w:t>
      </w:r>
    </w:p>
    <w:p w14:paraId="1766AD04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проведение внеклассных мероприятий по повышению финансовой грамотности;</w:t>
      </w:r>
    </w:p>
    <w:p w14:paraId="59084386" w14:textId="77777777" w:rsidR="004E1DD6" w:rsidRDefault="004E1DD6" w:rsidP="004E1DD6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сотрудничество с коммерческим банками, Фондом поддержки предпринимательства ЮГРЫ (реализация программы «Азбука бизнеса»).</w:t>
      </w:r>
      <w:bookmarkStart w:id="0" w:name="_GoBack"/>
      <w:bookmarkEnd w:id="0"/>
    </w:p>
    <w:sectPr w:rsidR="004E1DD6" w:rsidSect="00C059F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123"/>
    <w:multiLevelType w:val="multilevel"/>
    <w:tmpl w:val="4302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11EB9"/>
    <w:multiLevelType w:val="hybridMultilevel"/>
    <w:tmpl w:val="90B01F68"/>
    <w:lvl w:ilvl="0" w:tplc="490CC66C">
      <w:start w:val="1"/>
      <w:numFmt w:val="decimal"/>
      <w:lvlText w:val="%1)"/>
      <w:lvlJc w:val="left"/>
      <w:pPr>
        <w:ind w:left="3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042E82">
      <w:numFmt w:val="bullet"/>
      <w:lvlText w:val="•"/>
      <w:lvlJc w:val="left"/>
      <w:pPr>
        <w:ind w:left="1362" w:hanging="260"/>
      </w:pPr>
      <w:rPr>
        <w:lang w:val="ru-RU" w:eastAsia="en-US" w:bidi="ar-SA"/>
      </w:rPr>
    </w:lvl>
    <w:lvl w:ilvl="2" w:tplc="B27E0E5A">
      <w:numFmt w:val="bullet"/>
      <w:lvlText w:val="•"/>
      <w:lvlJc w:val="left"/>
      <w:pPr>
        <w:ind w:left="2405" w:hanging="260"/>
      </w:pPr>
      <w:rPr>
        <w:lang w:val="ru-RU" w:eastAsia="en-US" w:bidi="ar-SA"/>
      </w:rPr>
    </w:lvl>
    <w:lvl w:ilvl="3" w:tplc="FFC253C6">
      <w:numFmt w:val="bullet"/>
      <w:lvlText w:val="•"/>
      <w:lvlJc w:val="left"/>
      <w:pPr>
        <w:ind w:left="3447" w:hanging="260"/>
      </w:pPr>
      <w:rPr>
        <w:lang w:val="ru-RU" w:eastAsia="en-US" w:bidi="ar-SA"/>
      </w:rPr>
    </w:lvl>
    <w:lvl w:ilvl="4" w:tplc="6A36358E">
      <w:numFmt w:val="bullet"/>
      <w:lvlText w:val="•"/>
      <w:lvlJc w:val="left"/>
      <w:pPr>
        <w:ind w:left="4490" w:hanging="260"/>
      </w:pPr>
      <w:rPr>
        <w:lang w:val="ru-RU" w:eastAsia="en-US" w:bidi="ar-SA"/>
      </w:rPr>
    </w:lvl>
    <w:lvl w:ilvl="5" w:tplc="F1CA8DEA">
      <w:numFmt w:val="bullet"/>
      <w:lvlText w:val="•"/>
      <w:lvlJc w:val="left"/>
      <w:pPr>
        <w:ind w:left="5533" w:hanging="260"/>
      </w:pPr>
      <w:rPr>
        <w:lang w:val="ru-RU" w:eastAsia="en-US" w:bidi="ar-SA"/>
      </w:rPr>
    </w:lvl>
    <w:lvl w:ilvl="6" w:tplc="B01E2256">
      <w:numFmt w:val="bullet"/>
      <w:lvlText w:val="•"/>
      <w:lvlJc w:val="left"/>
      <w:pPr>
        <w:ind w:left="6575" w:hanging="260"/>
      </w:pPr>
      <w:rPr>
        <w:lang w:val="ru-RU" w:eastAsia="en-US" w:bidi="ar-SA"/>
      </w:rPr>
    </w:lvl>
    <w:lvl w:ilvl="7" w:tplc="C40EBEF8">
      <w:numFmt w:val="bullet"/>
      <w:lvlText w:val="•"/>
      <w:lvlJc w:val="left"/>
      <w:pPr>
        <w:ind w:left="7618" w:hanging="260"/>
      </w:pPr>
      <w:rPr>
        <w:lang w:val="ru-RU" w:eastAsia="en-US" w:bidi="ar-SA"/>
      </w:rPr>
    </w:lvl>
    <w:lvl w:ilvl="8" w:tplc="C6E24EA8">
      <w:numFmt w:val="bullet"/>
      <w:lvlText w:val="•"/>
      <w:lvlJc w:val="left"/>
      <w:pPr>
        <w:ind w:left="8661" w:hanging="260"/>
      </w:pPr>
      <w:rPr>
        <w:lang w:val="ru-RU" w:eastAsia="en-US" w:bidi="ar-SA"/>
      </w:rPr>
    </w:lvl>
  </w:abstractNum>
  <w:abstractNum w:abstractNumId="2" w15:restartNumberingAfterBreak="0">
    <w:nsid w:val="31147C66"/>
    <w:multiLevelType w:val="hybridMultilevel"/>
    <w:tmpl w:val="3812758C"/>
    <w:lvl w:ilvl="0" w:tplc="EBD29CEA">
      <w:start w:val="1"/>
      <w:numFmt w:val="decimal"/>
      <w:lvlText w:val="%1."/>
      <w:lvlJc w:val="left"/>
      <w:pPr>
        <w:ind w:left="5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E81EF2">
      <w:numFmt w:val="bullet"/>
      <w:lvlText w:val="•"/>
      <w:lvlJc w:val="left"/>
      <w:pPr>
        <w:ind w:left="1578" w:hanging="240"/>
      </w:pPr>
      <w:rPr>
        <w:lang w:val="ru-RU" w:eastAsia="en-US" w:bidi="ar-SA"/>
      </w:rPr>
    </w:lvl>
    <w:lvl w:ilvl="2" w:tplc="7F2C5AE8">
      <w:numFmt w:val="bullet"/>
      <w:lvlText w:val="•"/>
      <w:lvlJc w:val="left"/>
      <w:pPr>
        <w:ind w:left="2597" w:hanging="240"/>
      </w:pPr>
      <w:rPr>
        <w:lang w:val="ru-RU" w:eastAsia="en-US" w:bidi="ar-SA"/>
      </w:rPr>
    </w:lvl>
    <w:lvl w:ilvl="3" w:tplc="F642C270">
      <w:numFmt w:val="bullet"/>
      <w:lvlText w:val="•"/>
      <w:lvlJc w:val="left"/>
      <w:pPr>
        <w:ind w:left="3615" w:hanging="240"/>
      </w:pPr>
      <w:rPr>
        <w:lang w:val="ru-RU" w:eastAsia="en-US" w:bidi="ar-SA"/>
      </w:rPr>
    </w:lvl>
    <w:lvl w:ilvl="4" w:tplc="F98AAB2C">
      <w:numFmt w:val="bullet"/>
      <w:lvlText w:val="•"/>
      <w:lvlJc w:val="left"/>
      <w:pPr>
        <w:ind w:left="4634" w:hanging="240"/>
      </w:pPr>
      <w:rPr>
        <w:lang w:val="ru-RU" w:eastAsia="en-US" w:bidi="ar-SA"/>
      </w:rPr>
    </w:lvl>
    <w:lvl w:ilvl="5" w:tplc="2F94C3DE">
      <w:numFmt w:val="bullet"/>
      <w:lvlText w:val="•"/>
      <w:lvlJc w:val="left"/>
      <w:pPr>
        <w:ind w:left="5653" w:hanging="240"/>
      </w:pPr>
      <w:rPr>
        <w:lang w:val="ru-RU" w:eastAsia="en-US" w:bidi="ar-SA"/>
      </w:rPr>
    </w:lvl>
    <w:lvl w:ilvl="6" w:tplc="9970F104">
      <w:numFmt w:val="bullet"/>
      <w:lvlText w:val="•"/>
      <w:lvlJc w:val="left"/>
      <w:pPr>
        <w:ind w:left="6671" w:hanging="240"/>
      </w:pPr>
      <w:rPr>
        <w:lang w:val="ru-RU" w:eastAsia="en-US" w:bidi="ar-SA"/>
      </w:rPr>
    </w:lvl>
    <w:lvl w:ilvl="7" w:tplc="D2209B94">
      <w:numFmt w:val="bullet"/>
      <w:lvlText w:val="•"/>
      <w:lvlJc w:val="left"/>
      <w:pPr>
        <w:ind w:left="7690" w:hanging="240"/>
      </w:pPr>
      <w:rPr>
        <w:lang w:val="ru-RU" w:eastAsia="en-US" w:bidi="ar-SA"/>
      </w:rPr>
    </w:lvl>
    <w:lvl w:ilvl="8" w:tplc="F140E54E">
      <w:numFmt w:val="bullet"/>
      <w:lvlText w:val="•"/>
      <w:lvlJc w:val="left"/>
      <w:pPr>
        <w:ind w:left="8709" w:hanging="240"/>
      </w:pPr>
      <w:rPr>
        <w:lang w:val="ru-RU" w:eastAsia="en-US" w:bidi="ar-SA"/>
      </w:rPr>
    </w:lvl>
  </w:abstractNum>
  <w:abstractNum w:abstractNumId="3" w15:restartNumberingAfterBreak="0">
    <w:nsid w:val="3BF975C7"/>
    <w:multiLevelType w:val="hybridMultilevel"/>
    <w:tmpl w:val="29121826"/>
    <w:lvl w:ilvl="0" w:tplc="D9DC7576"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58DC18">
      <w:numFmt w:val="bullet"/>
      <w:lvlText w:val="•"/>
      <w:lvlJc w:val="left"/>
      <w:pPr>
        <w:ind w:left="1200" w:hanging="140"/>
      </w:pPr>
      <w:rPr>
        <w:lang w:val="ru-RU" w:eastAsia="en-US" w:bidi="ar-SA"/>
      </w:rPr>
    </w:lvl>
    <w:lvl w:ilvl="2" w:tplc="22B4C422">
      <w:numFmt w:val="bullet"/>
      <w:lvlText w:val="•"/>
      <w:lvlJc w:val="left"/>
      <w:pPr>
        <w:ind w:left="2260" w:hanging="140"/>
      </w:pPr>
      <w:rPr>
        <w:lang w:val="ru-RU" w:eastAsia="en-US" w:bidi="ar-SA"/>
      </w:rPr>
    </w:lvl>
    <w:lvl w:ilvl="3" w:tplc="077EE02E">
      <w:numFmt w:val="bullet"/>
      <w:lvlText w:val="•"/>
      <w:lvlJc w:val="left"/>
      <w:pPr>
        <w:ind w:left="3321" w:hanging="140"/>
      </w:pPr>
      <w:rPr>
        <w:lang w:val="ru-RU" w:eastAsia="en-US" w:bidi="ar-SA"/>
      </w:rPr>
    </w:lvl>
    <w:lvl w:ilvl="4" w:tplc="E5047A6A">
      <w:numFmt w:val="bullet"/>
      <w:lvlText w:val="•"/>
      <w:lvlJc w:val="left"/>
      <w:pPr>
        <w:ind w:left="4382" w:hanging="140"/>
      </w:pPr>
      <w:rPr>
        <w:lang w:val="ru-RU" w:eastAsia="en-US" w:bidi="ar-SA"/>
      </w:rPr>
    </w:lvl>
    <w:lvl w:ilvl="5" w:tplc="960AAB7E">
      <w:numFmt w:val="bullet"/>
      <w:lvlText w:val="•"/>
      <w:lvlJc w:val="left"/>
      <w:pPr>
        <w:ind w:left="5442" w:hanging="140"/>
      </w:pPr>
      <w:rPr>
        <w:lang w:val="ru-RU" w:eastAsia="en-US" w:bidi="ar-SA"/>
      </w:rPr>
    </w:lvl>
    <w:lvl w:ilvl="6" w:tplc="B2724FB8">
      <w:numFmt w:val="bullet"/>
      <w:lvlText w:val="•"/>
      <w:lvlJc w:val="left"/>
      <w:pPr>
        <w:ind w:left="6503" w:hanging="140"/>
      </w:pPr>
      <w:rPr>
        <w:lang w:val="ru-RU" w:eastAsia="en-US" w:bidi="ar-SA"/>
      </w:rPr>
    </w:lvl>
    <w:lvl w:ilvl="7" w:tplc="B6B0F348">
      <w:numFmt w:val="bullet"/>
      <w:lvlText w:val="•"/>
      <w:lvlJc w:val="left"/>
      <w:pPr>
        <w:ind w:left="7564" w:hanging="140"/>
      </w:pPr>
      <w:rPr>
        <w:lang w:val="ru-RU" w:eastAsia="en-US" w:bidi="ar-SA"/>
      </w:rPr>
    </w:lvl>
    <w:lvl w:ilvl="8" w:tplc="B5109D04">
      <w:numFmt w:val="bullet"/>
      <w:lvlText w:val="•"/>
      <w:lvlJc w:val="left"/>
      <w:pPr>
        <w:ind w:left="8624" w:hanging="140"/>
      </w:pPr>
      <w:rPr>
        <w:lang w:val="ru-RU" w:eastAsia="en-US" w:bidi="ar-SA"/>
      </w:rPr>
    </w:lvl>
  </w:abstractNum>
  <w:abstractNum w:abstractNumId="4" w15:restartNumberingAfterBreak="0">
    <w:nsid w:val="54DE2355"/>
    <w:multiLevelType w:val="multilevel"/>
    <w:tmpl w:val="3EB6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26B0D"/>
    <w:multiLevelType w:val="hybridMultilevel"/>
    <w:tmpl w:val="3A7AC6E0"/>
    <w:lvl w:ilvl="0" w:tplc="09100ABC">
      <w:start w:val="6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62DEF6">
      <w:numFmt w:val="bullet"/>
      <w:lvlText w:val="•"/>
      <w:lvlJc w:val="left"/>
      <w:pPr>
        <w:ind w:left="1524" w:hanging="180"/>
      </w:pPr>
      <w:rPr>
        <w:lang w:val="ru-RU" w:eastAsia="en-US" w:bidi="ar-SA"/>
      </w:rPr>
    </w:lvl>
    <w:lvl w:ilvl="2" w:tplc="1A64BC88">
      <w:numFmt w:val="bullet"/>
      <w:lvlText w:val="•"/>
      <w:lvlJc w:val="left"/>
      <w:pPr>
        <w:ind w:left="2549" w:hanging="180"/>
      </w:pPr>
      <w:rPr>
        <w:lang w:val="ru-RU" w:eastAsia="en-US" w:bidi="ar-SA"/>
      </w:rPr>
    </w:lvl>
    <w:lvl w:ilvl="3" w:tplc="5672EFAC">
      <w:numFmt w:val="bullet"/>
      <w:lvlText w:val="•"/>
      <w:lvlJc w:val="left"/>
      <w:pPr>
        <w:ind w:left="3573" w:hanging="180"/>
      </w:pPr>
      <w:rPr>
        <w:lang w:val="ru-RU" w:eastAsia="en-US" w:bidi="ar-SA"/>
      </w:rPr>
    </w:lvl>
    <w:lvl w:ilvl="4" w:tplc="23B89B36">
      <w:numFmt w:val="bullet"/>
      <w:lvlText w:val="•"/>
      <w:lvlJc w:val="left"/>
      <w:pPr>
        <w:ind w:left="4598" w:hanging="180"/>
      </w:pPr>
      <w:rPr>
        <w:lang w:val="ru-RU" w:eastAsia="en-US" w:bidi="ar-SA"/>
      </w:rPr>
    </w:lvl>
    <w:lvl w:ilvl="5" w:tplc="F378E6FA">
      <w:numFmt w:val="bullet"/>
      <w:lvlText w:val="•"/>
      <w:lvlJc w:val="left"/>
      <w:pPr>
        <w:ind w:left="5623" w:hanging="180"/>
      </w:pPr>
      <w:rPr>
        <w:lang w:val="ru-RU" w:eastAsia="en-US" w:bidi="ar-SA"/>
      </w:rPr>
    </w:lvl>
    <w:lvl w:ilvl="6" w:tplc="C562F152">
      <w:numFmt w:val="bullet"/>
      <w:lvlText w:val="•"/>
      <w:lvlJc w:val="left"/>
      <w:pPr>
        <w:ind w:left="6647" w:hanging="180"/>
      </w:pPr>
      <w:rPr>
        <w:lang w:val="ru-RU" w:eastAsia="en-US" w:bidi="ar-SA"/>
      </w:rPr>
    </w:lvl>
    <w:lvl w:ilvl="7" w:tplc="96304790">
      <w:numFmt w:val="bullet"/>
      <w:lvlText w:val="•"/>
      <w:lvlJc w:val="left"/>
      <w:pPr>
        <w:ind w:left="7672" w:hanging="180"/>
      </w:pPr>
      <w:rPr>
        <w:lang w:val="ru-RU" w:eastAsia="en-US" w:bidi="ar-SA"/>
      </w:rPr>
    </w:lvl>
    <w:lvl w:ilvl="8" w:tplc="C6960D54">
      <w:numFmt w:val="bullet"/>
      <w:lvlText w:val="•"/>
      <w:lvlJc w:val="left"/>
      <w:pPr>
        <w:ind w:left="8697" w:hanging="180"/>
      </w:pPr>
      <w:rPr>
        <w:lang w:val="ru-RU" w:eastAsia="en-US" w:bidi="ar-SA"/>
      </w:rPr>
    </w:lvl>
  </w:abstractNum>
  <w:abstractNum w:abstractNumId="6" w15:restartNumberingAfterBreak="0">
    <w:nsid w:val="65E252BA"/>
    <w:multiLevelType w:val="multilevel"/>
    <w:tmpl w:val="F29E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</w:num>
  <w:num w:numId="5">
    <w:abstractNumId w:val="5"/>
  </w:num>
  <w:num w:numId="6">
    <w:abstractNumId w:val="5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F7"/>
    <w:rsid w:val="00047FF7"/>
    <w:rsid w:val="00084663"/>
    <w:rsid w:val="001A3CDC"/>
    <w:rsid w:val="002A7497"/>
    <w:rsid w:val="002C4EB4"/>
    <w:rsid w:val="004E1DD6"/>
    <w:rsid w:val="00781CFA"/>
    <w:rsid w:val="008D4751"/>
    <w:rsid w:val="008E775D"/>
    <w:rsid w:val="00C059F7"/>
    <w:rsid w:val="00D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83FD"/>
  <w15:chartTrackingRefBased/>
  <w15:docId w15:val="{884CD3FD-36D9-49F1-8D5D-F9585865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7497"/>
    <w:pPr>
      <w:widowControl w:val="0"/>
      <w:autoSpaceDE w:val="0"/>
      <w:autoSpaceDN w:val="0"/>
      <w:spacing w:before="5" w:after="0" w:line="274" w:lineRule="exact"/>
      <w:ind w:left="1021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49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2A7497"/>
  </w:style>
  <w:style w:type="character" w:customStyle="1" w:styleId="12">
    <w:name w:val="Гиперссылка1"/>
    <w:basedOn w:val="a0"/>
    <w:uiPriority w:val="99"/>
    <w:semiHidden/>
    <w:unhideWhenUsed/>
    <w:rsid w:val="002A7497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2A7497"/>
    <w:rPr>
      <w:color w:val="800080"/>
      <w:u w:val="single"/>
    </w:rPr>
  </w:style>
  <w:style w:type="paragraph" w:customStyle="1" w:styleId="msonormal0">
    <w:name w:val="msonormal"/>
    <w:basedOn w:val="a"/>
    <w:rsid w:val="002A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Body Text"/>
    <w:basedOn w:val="a"/>
    <w:link w:val="a4"/>
    <w:uiPriority w:val="1"/>
    <w:semiHidden/>
    <w:unhideWhenUsed/>
    <w:qFormat/>
    <w:rsid w:val="002A7497"/>
    <w:pPr>
      <w:widowControl w:val="0"/>
      <w:autoSpaceDE w:val="0"/>
      <w:autoSpaceDN w:val="0"/>
      <w:spacing w:after="0" w:line="240" w:lineRule="auto"/>
      <w:ind w:left="31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semiHidden/>
    <w:rsid w:val="002A749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1"/>
    <w:qFormat/>
    <w:rsid w:val="002A7497"/>
    <w:pPr>
      <w:widowControl w:val="0"/>
      <w:autoSpaceDE w:val="0"/>
      <w:autoSpaceDN w:val="0"/>
      <w:spacing w:after="0" w:line="240" w:lineRule="auto"/>
      <w:ind w:left="312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2A7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2A74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2A749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A7497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2C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0">
    <w:name w:val="c10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4E1DD6"/>
  </w:style>
  <w:style w:type="paragraph" w:customStyle="1" w:styleId="c16">
    <w:name w:val="c16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4E1DD6"/>
  </w:style>
  <w:style w:type="paragraph" w:customStyle="1" w:styleId="c2">
    <w:name w:val="c2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4">
    <w:name w:val="c14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87">
    <w:name w:val="c87"/>
    <w:basedOn w:val="a0"/>
    <w:rsid w:val="004E1DD6"/>
  </w:style>
  <w:style w:type="character" w:customStyle="1" w:styleId="c29">
    <w:name w:val="c29"/>
    <w:basedOn w:val="a0"/>
    <w:rsid w:val="004E1DD6"/>
  </w:style>
  <w:style w:type="paragraph" w:customStyle="1" w:styleId="c90">
    <w:name w:val="c90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7">
    <w:name w:val="c17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4">
    <w:name w:val="c24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70">
    <w:name w:val="c70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5">
    <w:name w:val="c15"/>
    <w:basedOn w:val="a0"/>
    <w:rsid w:val="004E1DD6"/>
  </w:style>
  <w:style w:type="paragraph" w:customStyle="1" w:styleId="c39">
    <w:name w:val="c39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6">
    <w:name w:val="c96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5">
    <w:name w:val="c55"/>
    <w:basedOn w:val="a"/>
    <w:rsid w:val="004E1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 Уважаемый</dc:creator>
  <cp:keywords/>
  <dc:description/>
  <cp:lastModifiedBy>35</cp:lastModifiedBy>
  <cp:revision>7</cp:revision>
  <dcterms:created xsi:type="dcterms:W3CDTF">2023-09-02T17:38:00Z</dcterms:created>
  <dcterms:modified xsi:type="dcterms:W3CDTF">2023-09-23T10:50:00Z</dcterms:modified>
</cp:coreProperties>
</file>